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257</w:t>
      </w:r>
    </w:p>
    <w:p>
      <w:r>
        <w:t>Bundesgericht (BGE), 2007-07-10, FR</w:t>
      </w:r>
    </w:p>
    <w:p>
      <w:r>
        <w:rPr>
          <w:b/>
        </w:rPr>
        <w:t xml:space="preserve">Quelle: </w:t>
      </w:r>
      <w:r>
        <w:t>https://mcp.opencaselaw.ch/entscheid/bge_133 II 257</w:t>
      </w:r>
    </w:p>
    <w:p>
      <w:r>
        <w:t>FR: ATF 133 II 257</w:t>
      </w:r>
    </w:p>
    <w:p>
      <w:r>
        <w:t>IT: DTF 133 II 257</w:t>
      </w:r>
    </w:p>
    <w:p>
      <w:pPr>
        <w:pStyle w:val="Heading2"/>
      </w:pPr>
      <w:r>
        <w:t>Regeste</w:t>
      </w:r>
    </w:p>
    <w:p>
      <w:r>
        <w:t>Regeste Art. 5 GlG; Rechtsansprüche einer Person, die von Diskriminierung betroffen ist; Verfahren zur Geltendmachung von Schadenersatzansprüchen nach GlG. Die von Diskriminierung betroffene Person kann ihre spezifischen Rechtsansprüche nach Art. 5 Abs. 1-4 GlG und, zusätzlich, die in Art. 5 Abs. 5 GlG vorbehaltenen Ansprüche auf Schadenersatz und Genugtuung geltend machen. Der Vorbehalt dieser zusätzlichen Ansprüche unterwirft diese nicht einem anderem Verfahren. Sie haben dieselbe Grundlage wie die in Abs. 1-4 genannten Ansprüche, so dass das Opfer einer Diskriminierung alle daraus folgenden Rechtsansprüche im Verfahren gegen die diskriminierende Entscheidung vorbringen darf. Diese Lösung entspricht dem Sinn des Gesetzes und drängt sich auch aus prozessökonomischen Gründen auf (E. 5.3). Die Verfolgung der Schadenersatzansprüche in ein Verfahren vor einer anderen Behörde zu verweisen, stellt im Übrigen eine willkürliche Anwendung der vorliegend anwendbaren Regeln des kantonalen Verfahrensrechts dar (E. 5.2 und 5.4).</w:t>
      </w:r>
    </w:p>
    <w:p>
      <w:pPr>
        <w:pStyle w:val="Heading2"/>
      </w:pPr>
      <w:r>
        <w:t>Erwägungen</w:t>
      </w:r>
    </w:p>
    <w:p>
      <w:r>
        <w:rPr>
          <w:b/>
        </w:rPr>
        <w:t>E. 5.1</w:t>
      </w:r>
    </w:p>
    <w:p>
      <w:r>
        <w:t>Le recourant reproche au Tribunal administratif d'avoir considéré à tort qu'il n'était pas compétent pour statuer sur l'indemnité demandée à titre de dommages-intérêts. Le Tribunal administratif n'est en effet pas entré en matière sur cette prétention fondée sur l' art. 5 al. 5 LEg . Il a considéré qu'elle était soumise aux règles ordinaires de compétence en matière de responsabilité de l'Etat et des communes et que, dès lors, le recourant aurait dû faire valoir ses prétentions en dommages-intérêts devant le Tribunal de première instance (art. 7 de la loi cantonale sur la responsabilité de l'Etat et des communes [LREC/GE; RSG A 2 40]). Il convient d'examiner si cette solution est conforme à l' art. 5 LEg et si elle ne constitue pas une application arbitraire de l'art. 56G al. 1 de la loi cantonale sur l'organisation judiciaire (LOJ/GE; RSG E 2 05). Appelé à revoir l'interprétation d'une norme cantonale sous l'angle de l'arbitraire (pour une définition de l'arbitraire, cf. ATF 132 I 13 consid. 5.1 et les références), le Tribunal fédéral ne s'écarte de la solution retenue par l'autorité cantonale de dernière instance que si BGE 133 II 257 S. 261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117 Ia 97 consid. 5b p. 106, ATF 117 Ia 292 consid. 3a p. 294 et les références).</w:t>
      </w:r>
    </w:p>
    <w:p>
      <w:r>
        <w:rPr>
          <w:b/>
        </w:rPr>
        <w:t>E. 5.2</w:t>
      </w:r>
    </w:p>
    <w:p>
      <w:r>
        <w:t>Intitulé "droits des travailleurs", l' art. 5 LEg énumère aux alinéas 1 à 4 des droits de diverses natures en faveur de la personne lésée par une discrimination. Aux termes de l'alinéa 5, sont réservés les droits en dommages-intérêts et en réparation du tort moral, de même que les prétentions découlant de dispositions contractuelles plus favorables aux travailleurs. Quant à l'art. 56G al. 1 LOJ/GE, il a la teneur suivante: "le Tribunal administratif siégeant au nombre de 5 juges connaît en instance unique des actions relatives à des prétentions de nature pécuniaire fondées sur le droit public cantonal, de même que sur la loi fédérale du 24 mars 1995 sur l'égalité entre femmes et hommes, qui ne peuvent pas faire l'objet d'une décision au sens de l'article 56A, alinéa 2, de la présente loi, et qui découlent (let. a) des rapports entre l'Etat, les communes, les autres corporations et établissements de droit public et leurs agents publics".</w:t>
      </w:r>
    </w:p>
    <w:p>
      <w:r>
        <w:rPr>
          <w:b/>
        </w:rPr>
        <w:t>E. 5.3</w:t>
      </w:r>
    </w:p>
    <w:p>
      <w:r>
        <w:t>Il convient en premier lieu de déterminer la portée de la réserve figurant à l' art. 5 al. 5 LEg . Selon la doctrine et les travaux préparatoires, cette réserve vise simplement à "clarifier la situation" en rappelant qu'une discrimination au sens de la loi sur l'égalité représente aussi une atteinte aux droits de la personnalité et que cette atteinte illicite peut donner droit à des dommages-intérêts ainsi qu'à une réparation du tort moral (cf. MARGRITH BIGLER-EGGENBERGER, Commentaire de la loi sur l'égalité, Lausanne 2000, n. 43 ad art. 5 LEg ; Message du 24 février 1993 concernant la loi fédérale sur l'égalité entre femmes et hommes, FF 1993 I 1163, p. 1215). Dès lors, même si les conditions de réalisation de ces dernières prétentions sont soumises aux principes généraux du droit de la responsabilité, elles ont le même fondement que tous les autres droits du lésé énoncés à l'art. 5 al. 1 à 4 LEg, à savoir l'acte illicite que constitue la violation de la loi sur l'égalité. Pour autant que les conditions requises soient satisfaites, la personne lésée par une discrimination peut ainsi faire valoir les droits spécifiques de l'art. 5 al. 1 à 4 LEg et, BGE 133 II 257 S. 262 cumulativement, les prétentions en dommages-intérêts et en réparation du tort moral réservées à l' art. 5 al. 5 LEg . Par ailleurs, la loi sur l'égalité exige des cantons qu'ils aménagent des moyens de droit permettant aux personnes et organisations légitimées de se prévaloir efficacement des droits mentionnés à l' art. 5 LEg (arrêts 2P.277/2004 précité, consid. 4.3; 1A.8/2000 du 10 mars 2000, consid. 2c). La personne lésée doit dès lors pouvoir faire valoir toutes ces prétentions dans la procédure ouverte contre la décision discriminatoire (cf. KATHRIN ARIOLI/FELICITAS FURRER ISELI, L'application de la loi sur l'égalité aux rapports de droit public, Bâle 2000, n. 326 p. 137). Cette solution s'impose également du point de vue de l'économie de la procédure.</w:t>
      </w:r>
    </w:p>
    <w:p>
      <w:r>
        <w:rPr>
          <w:b/>
        </w:rPr>
        <w:t>E. 5.4</w:t>
      </w:r>
    </w:p>
    <w:p>
      <w:r>
        <w:t>En l'occurrence, les prétentions en dommages-intérêts litigieuses concernent les frais de défense engagés par le recourant pour contester le rejet de sa candidature au poste de professeur mis au concours par l'intimée. Des dépens lui ont été octroyés à la suite de la constatation d'une discrimination dans le cadre de la procédure de plainte; le recourant estime toutefois que ces dépens ne couvrent pas les frais engagés avant le dépôt de son recours du 29 mars 2004 devant le Tribunal administratif et il demande par conséquent le remboursement de ces frais à titre de dommages-intérêts. Ces prétentions sont directement liées à la discrimination constatée par le Tribunal fédéral dans l'arrêt 2P.277/2004, ainsi qu'à la discrimination lors du refus d'embauche dont le recourant se plaint encore. Elles devaient donc pouvoir être invoquées dans la même procédure et c'est en violation de l' art. 5 LEg que le Tribunal administratif a renvoyé le recourant à agir devant une autre autorité. De plus, dans la mesure où la prétention en dommages-intérêts est fondée sur une discrimination au sens de la loi fédérale sur l'égalité, la position de l'autorité intimée est sur ce point en contradiction manifeste avec le texte clair de l'art. 56G LOJ/GE, aux termes duquel le Tribunal administratif est compétent pour statuer sur les prétentions de nature pécuniaire fondées sur la loi sur l'égalité. L'arrêt attaqué repose donc également sur une application arbitraire de l'art. 56G al. 1 LOJ/GE. Par conséquent, il y a lieu d'admettre le recours sur ce point et de renvoyer la cause au Tribunal administratif pour qu'il statue sur la demande du recourant tendant au paiement de dommages-intérêts, étant précisé que ce renvoi ne préjuge en rien du sort de la réclamation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